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1D" w:rsidRDefault="00D55A6B" w:rsidP="0022252C">
      <w:pPr>
        <w:spacing w:line="276" w:lineRule="auto"/>
        <w:rPr>
          <w:rFonts w:ascii="Arial" w:hAnsi="Arial" w:cs="Arial"/>
          <w:b w:val="0"/>
          <w:i w:val="0"/>
        </w:rPr>
      </w:pPr>
      <w:r w:rsidRPr="00D55A6B">
        <w:rPr>
          <w:rFonts w:ascii="Arial" w:hAnsi="Arial" w:cs="Arial"/>
          <w:b w:val="0"/>
          <w:i w:val="0"/>
        </w:rPr>
        <w:t>Effective January 1</w:t>
      </w:r>
      <w:r w:rsidRPr="00D55A6B">
        <w:rPr>
          <w:rFonts w:ascii="Arial" w:hAnsi="Arial" w:cs="Arial"/>
          <w:b w:val="0"/>
          <w:i w:val="0"/>
          <w:vertAlign w:val="superscript"/>
        </w:rPr>
        <w:t>st</w:t>
      </w:r>
      <w:r w:rsidRPr="00D55A6B">
        <w:rPr>
          <w:rFonts w:ascii="Arial" w:hAnsi="Arial" w:cs="Arial"/>
          <w:b w:val="0"/>
          <w:i w:val="0"/>
        </w:rPr>
        <w:t xml:space="preserve"> 2024 any </w:t>
      </w:r>
      <w:r w:rsidR="00502BFE">
        <w:rPr>
          <w:rFonts w:ascii="Arial" w:hAnsi="Arial" w:cs="Arial"/>
          <w:b w:val="0"/>
          <w:i w:val="0"/>
        </w:rPr>
        <w:t xml:space="preserve">Domestic </w:t>
      </w:r>
      <w:r w:rsidR="0050531D">
        <w:rPr>
          <w:rFonts w:ascii="Arial" w:hAnsi="Arial" w:cs="Arial"/>
          <w:b w:val="0"/>
          <w:i w:val="0"/>
        </w:rPr>
        <w:t>Corporation, LLC,</w:t>
      </w:r>
      <w:r>
        <w:rPr>
          <w:rFonts w:ascii="Arial" w:hAnsi="Arial" w:cs="Arial"/>
          <w:b w:val="0"/>
          <w:i w:val="0"/>
        </w:rPr>
        <w:t xml:space="preserve"> L.P.</w:t>
      </w:r>
      <w:r w:rsidR="0050531D">
        <w:rPr>
          <w:rFonts w:ascii="Arial" w:hAnsi="Arial" w:cs="Arial"/>
          <w:b w:val="0"/>
          <w:i w:val="0"/>
        </w:rPr>
        <w:t>,</w:t>
      </w:r>
      <w:r>
        <w:rPr>
          <w:rFonts w:ascii="Arial" w:hAnsi="Arial" w:cs="Arial"/>
          <w:b w:val="0"/>
          <w:i w:val="0"/>
        </w:rPr>
        <w:t xml:space="preserve"> </w:t>
      </w:r>
      <w:r w:rsidR="00502BFE">
        <w:rPr>
          <w:rFonts w:ascii="Arial" w:hAnsi="Arial" w:cs="Arial"/>
          <w:b w:val="0"/>
          <w:i w:val="0"/>
        </w:rPr>
        <w:t xml:space="preserve">or </w:t>
      </w:r>
      <w:r w:rsidR="00E92452">
        <w:rPr>
          <w:rFonts w:ascii="Arial" w:hAnsi="Arial" w:cs="Arial"/>
          <w:b w:val="0"/>
          <w:i w:val="0"/>
        </w:rPr>
        <w:t>Foreign</w:t>
      </w:r>
      <w:r w:rsidR="00502BFE">
        <w:rPr>
          <w:rFonts w:ascii="Arial" w:hAnsi="Arial" w:cs="Arial"/>
          <w:b w:val="0"/>
          <w:i w:val="0"/>
        </w:rPr>
        <w:t xml:space="preserve"> entity </w:t>
      </w:r>
      <w:r w:rsidR="00E92452">
        <w:rPr>
          <w:rFonts w:ascii="Arial" w:hAnsi="Arial" w:cs="Arial"/>
          <w:b w:val="0"/>
          <w:i w:val="0"/>
        </w:rPr>
        <w:t>will be required to file a Beneficial Ownership R</w:t>
      </w:r>
      <w:r w:rsidRPr="00D55A6B">
        <w:rPr>
          <w:rFonts w:ascii="Arial" w:hAnsi="Arial" w:cs="Arial"/>
          <w:b w:val="0"/>
          <w:i w:val="0"/>
        </w:rPr>
        <w:t xml:space="preserve">eport that will identify information about </w:t>
      </w:r>
      <w:r w:rsidR="00E474A0">
        <w:rPr>
          <w:rFonts w:ascii="Arial" w:hAnsi="Arial" w:cs="Arial"/>
          <w:b w:val="0"/>
          <w:i w:val="0"/>
        </w:rPr>
        <w:t xml:space="preserve">itself, </w:t>
      </w:r>
      <w:r w:rsidRPr="00D55A6B">
        <w:rPr>
          <w:rFonts w:ascii="Arial" w:hAnsi="Arial" w:cs="Arial"/>
          <w:b w:val="0"/>
          <w:i w:val="0"/>
        </w:rPr>
        <w:t>individuals who directly or indirectly own or a control a company</w:t>
      </w:r>
      <w:r w:rsidR="00E474A0">
        <w:rPr>
          <w:rFonts w:ascii="Arial" w:hAnsi="Arial" w:cs="Arial"/>
          <w:b w:val="0"/>
          <w:i w:val="0"/>
        </w:rPr>
        <w:t xml:space="preserve"> herein known as Beneficial Owners, and individuals involved in the formation of the company herein known as company applicants</w:t>
      </w:r>
      <w:r w:rsidRPr="00D55A6B">
        <w:rPr>
          <w:rFonts w:ascii="Arial" w:hAnsi="Arial" w:cs="Arial"/>
          <w:b w:val="0"/>
          <w:i w:val="0"/>
        </w:rPr>
        <w:t>. This is a requirement for</w:t>
      </w:r>
      <w:r w:rsidRPr="00D55A6B">
        <w:rPr>
          <w:rFonts w:ascii="Arial" w:hAnsi="Arial" w:cs="Arial"/>
          <w:i w:val="0"/>
        </w:rPr>
        <w:t xml:space="preserve"> </w:t>
      </w:r>
      <w:r w:rsidR="00502BFE">
        <w:rPr>
          <w:rFonts w:ascii="Arial" w:hAnsi="Arial" w:cs="Arial"/>
          <w:i w:val="0"/>
        </w:rPr>
        <w:t xml:space="preserve">ALL </w:t>
      </w:r>
      <w:r w:rsidR="00502BFE" w:rsidRPr="00502BFE">
        <w:rPr>
          <w:rFonts w:ascii="Arial" w:hAnsi="Arial" w:cs="Arial"/>
          <w:b w:val="0"/>
          <w:i w:val="0"/>
        </w:rPr>
        <w:t>identified</w:t>
      </w:r>
      <w:r w:rsidR="00502BFE">
        <w:rPr>
          <w:rFonts w:ascii="Arial" w:hAnsi="Arial" w:cs="Arial"/>
          <w:i w:val="0"/>
        </w:rPr>
        <w:t xml:space="preserve"> </w:t>
      </w:r>
      <w:r w:rsidRPr="00D55A6B">
        <w:rPr>
          <w:rFonts w:ascii="Arial" w:hAnsi="Arial" w:cs="Arial"/>
          <w:b w:val="0"/>
          <w:i w:val="0"/>
        </w:rPr>
        <w:t>companies</w:t>
      </w:r>
      <w:r w:rsidR="00502BFE">
        <w:rPr>
          <w:rFonts w:ascii="Arial" w:hAnsi="Arial" w:cs="Arial"/>
          <w:b w:val="0"/>
          <w:i w:val="0"/>
        </w:rPr>
        <w:t xml:space="preserve">, and there is </w:t>
      </w:r>
      <w:r w:rsidR="00502BFE" w:rsidRPr="00502BFE">
        <w:rPr>
          <w:rFonts w:ascii="Arial" w:hAnsi="Arial" w:cs="Arial"/>
          <w:i w:val="0"/>
        </w:rPr>
        <w:t>no fee</w:t>
      </w:r>
      <w:r w:rsidR="00502BFE">
        <w:rPr>
          <w:rFonts w:ascii="Arial" w:hAnsi="Arial" w:cs="Arial"/>
          <w:b w:val="0"/>
          <w:i w:val="0"/>
        </w:rPr>
        <w:t xml:space="preserve"> to file</w:t>
      </w:r>
      <w:r w:rsidRPr="00D55A6B">
        <w:rPr>
          <w:rFonts w:ascii="Arial" w:hAnsi="Arial" w:cs="Arial"/>
          <w:b w:val="0"/>
          <w:i w:val="0"/>
        </w:rPr>
        <w:t xml:space="preserve">. </w:t>
      </w:r>
      <w:r w:rsidR="00502BFE">
        <w:rPr>
          <w:rFonts w:ascii="Arial" w:hAnsi="Arial" w:cs="Arial"/>
          <w:b w:val="0"/>
          <w:i w:val="0"/>
        </w:rPr>
        <w:t>These companies are herein known as reporting companies.</w:t>
      </w:r>
      <w:r w:rsidR="00882945">
        <w:rPr>
          <w:rFonts w:ascii="Arial" w:hAnsi="Arial" w:cs="Arial"/>
          <w:b w:val="0"/>
          <w:i w:val="0"/>
        </w:rPr>
        <w:t xml:space="preserve"> </w:t>
      </w:r>
    </w:p>
    <w:p w:rsidR="0050531D" w:rsidRDefault="0050531D" w:rsidP="00502BFE">
      <w:pPr>
        <w:rPr>
          <w:rFonts w:ascii="Arial" w:hAnsi="Arial" w:cs="Arial"/>
          <w:b w:val="0"/>
          <w:i w:val="0"/>
        </w:rPr>
      </w:pPr>
    </w:p>
    <w:p w:rsidR="00502BFE" w:rsidRDefault="00502BFE" w:rsidP="0050531D">
      <w:pPr>
        <w:ind w:left="720"/>
        <w:rPr>
          <w:rFonts w:ascii="Arial" w:hAnsi="Arial" w:cs="Arial"/>
          <w:b w:val="0"/>
        </w:rPr>
      </w:pPr>
      <w:r w:rsidRPr="00882945">
        <w:rPr>
          <w:rFonts w:ascii="Arial" w:hAnsi="Arial" w:cs="Arial"/>
          <w:b w:val="0"/>
        </w:rPr>
        <w:t xml:space="preserve">There are a small group of companies such as tax-exempt entities that will not have to report. If you have a question about if your company is exempt from Beneficial Ownership reporting please go to </w:t>
      </w:r>
      <w:hyperlink r:id="rId5" w:history="1">
        <w:r w:rsidR="0050531D" w:rsidRPr="00172E04">
          <w:rPr>
            <w:rStyle w:val="Hyperlink"/>
            <w:rFonts w:ascii="Arial" w:hAnsi="Arial" w:cs="Arial"/>
            <w:b w:val="0"/>
          </w:rPr>
          <w:t>www.fincen.gov/boi</w:t>
        </w:r>
      </w:hyperlink>
      <w:r w:rsidR="00882945">
        <w:rPr>
          <w:rFonts w:ascii="Arial" w:hAnsi="Arial" w:cs="Arial"/>
          <w:b w:val="0"/>
        </w:rPr>
        <w:t>.</w:t>
      </w:r>
    </w:p>
    <w:p w:rsidR="0050531D" w:rsidRDefault="0050531D" w:rsidP="00502BFE">
      <w:pPr>
        <w:rPr>
          <w:rFonts w:ascii="Arial" w:hAnsi="Arial" w:cs="Arial"/>
          <w:b w:val="0"/>
        </w:rPr>
      </w:pPr>
    </w:p>
    <w:p w:rsidR="0050531D" w:rsidRDefault="0050531D" w:rsidP="0022252C">
      <w:pPr>
        <w:spacing w:line="276" w:lineRule="auto"/>
        <w:rPr>
          <w:rFonts w:ascii="Arial" w:hAnsi="Arial" w:cs="Arial"/>
          <w:b w:val="0"/>
          <w:i w:val="0"/>
        </w:rPr>
      </w:pPr>
      <w:r>
        <w:rPr>
          <w:rFonts w:ascii="Arial" w:hAnsi="Arial" w:cs="Arial"/>
          <w:b w:val="0"/>
          <w:i w:val="0"/>
        </w:rPr>
        <w:t xml:space="preserve">All reporting companies formed </w:t>
      </w:r>
      <w:r w:rsidRPr="00502BFE">
        <w:rPr>
          <w:rFonts w:ascii="Arial" w:hAnsi="Arial" w:cs="Arial"/>
          <w:i w:val="0"/>
        </w:rPr>
        <w:t>PRIOR</w:t>
      </w:r>
      <w:r>
        <w:rPr>
          <w:rFonts w:ascii="Arial" w:hAnsi="Arial" w:cs="Arial"/>
          <w:b w:val="0"/>
          <w:i w:val="0"/>
        </w:rPr>
        <w:t xml:space="preserve"> to January 1</w:t>
      </w:r>
      <w:r w:rsidRPr="00502BFE">
        <w:rPr>
          <w:rFonts w:ascii="Arial" w:hAnsi="Arial" w:cs="Arial"/>
          <w:b w:val="0"/>
          <w:i w:val="0"/>
          <w:vertAlign w:val="superscript"/>
        </w:rPr>
        <w:t>st</w:t>
      </w:r>
      <w:r>
        <w:rPr>
          <w:rFonts w:ascii="Arial" w:hAnsi="Arial" w:cs="Arial"/>
          <w:b w:val="0"/>
          <w:i w:val="0"/>
        </w:rPr>
        <w:t xml:space="preserve"> 2024 will have until January 1</w:t>
      </w:r>
      <w:r w:rsidRPr="00502BFE">
        <w:rPr>
          <w:rFonts w:ascii="Arial" w:hAnsi="Arial" w:cs="Arial"/>
          <w:b w:val="0"/>
          <w:i w:val="0"/>
          <w:vertAlign w:val="superscript"/>
        </w:rPr>
        <w:t>st</w:t>
      </w:r>
      <w:r>
        <w:rPr>
          <w:rFonts w:ascii="Arial" w:hAnsi="Arial" w:cs="Arial"/>
          <w:b w:val="0"/>
          <w:i w:val="0"/>
        </w:rPr>
        <w:t xml:space="preserve"> 2025 to file their first Beneficial Ownership report. </w:t>
      </w:r>
      <w:r w:rsidR="00B95032">
        <w:rPr>
          <w:rFonts w:ascii="Arial" w:hAnsi="Arial" w:cs="Arial"/>
          <w:b w:val="0"/>
          <w:i w:val="0"/>
        </w:rPr>
        <w:t>C</w:t>
      </w:r>
      <w:r>
        <w:rPr>
          <w:rFonts w:ascii="Arial" w:hAnsi="Arial" w:cs="Arial"/>
          <w:b w:val="0"/>
          <w:i w:val="0"/>
        </w:rPr>
        <w:t xml:space="preserve">ompanies formed </w:t>
      </w:r>
      <w:r w:rsidRPr="00B95032">
        <w:rPr>
          <w:rFonts w:ascii="Arial" w:hAnsi="Arial" w:cs="Arial"/>
          <w:i w:val="0"/>
        </w:rPr>
        <w:t>PRIOR</w:t>
      </w:r>
      <w:r>
        <w:rPr>
          <w:rFonts w:ascii="Arial" w:hAnsi="Arial" w:cs="Arial"/>
          <w:b w:val="0"/>
          <w:i w:val="0"/>
        </w:rPr>
        <w:t xml:space="preserve"> to January 1</w:t>
      </w:r>
      <w:r w:rsidRPr="00E474A0">
        <w:rPr>
          <w:rFonts w:ascii="Arial" w:hAnsi="Arial" w:cs="Arial"/>
          <w:b w:val="0"/>
          <w:i w:val="0"/>
          <w:vertAlign w:val="superscript"/>
        </w:rPr>
        <w:t>st</w:t>
      </w:r>
      <w:r>
        <w:rPr>
          <w:rFonts w:ascii="Arial" w:hAnsi="Arial" w:cs="Arial"/>
          <w:b w:val="0"/>
          <w:i w:val="0"/>
        </w:rPr>
        <w:t xml:space="preserve"> 2024 will </w:t>
      </w:r>
      <w:r w:rsidRPr="00B95032">
        <w:rPr>
          <w:rFonts w:ascii="Arial" w:hAnsi="Arial" w:cs="Arial"/>
          <w:i w:val="0"/>
        </w:rPr>
        <w:t>NOT</w:t>
      </w:r>
      <w:r>
        <w:rPr>
          <w:rFonts w:ascii="Arial" w:hAnsi="Arial" w:cs="Arial"/>
          <w:b w:val="0"/>
          <w:i w:val="0"/>
        </w:rPr>
        <w:t xml:space="preserve"> be required to report information on company applicants. All beneficial ownership reports have to be filed on </w:t>
      </w:r>
      <w:r>
        <w:rPr>
          <w:rFonts w:ascii="Arial" w:hAnsi="Arial" w:cs="Arial"/>
          <w:b w:val="0"/>
          <w:u w:val="single"/>
        </w:rPr>
        <w:t>www.fincen.gov/boi</w:t>
      </w:r>
      <w:r>
        <w:rPr>
          <w:rFonts w:ascii="Arial" w:hAnsi="Arial" w:cs="Arial"/>
          <w:b w:val="0"/>
        </w:rPr>
        <w:t>.</w:t>
      </w:r>
    </w:p>
    <w:p w:rsidR="0050531D" w:rsidRDefault="0050531D" w:rsidP="0050531D">
      <w:pPr>
        <w:rPr>
          <w:rFonts w:ascii="Arial" w:hAnsi="Arial" w:cs="Arial"/>
          <w:b w:val="0"/>
          <w:i w:val="0"/>
        </w:rPr>
      </w:pPr>
    </w:p>
    <w:p w:rsidR="0050531D" w:rsidRDefault="0050531D" w:rsidP="0050531D">
      <w:pPr>
        <w:rPr>
          <w:rFonts w:ascii="Arial" w:hAnsi="Arial" w:cs="Arial"/>
          <w:b w:val="0"/>
          <w:i w:val="0"/>
        </w:rPr>
      </w:pPr>
    </w:p>
    <w:p w:rsidR="0050531D" w:rsidRDefault="0050531D" w:rsidP="0022252C">
      <w:pPr>
        <w:spacing w:line="276" w:lineRule="auto"/>
        <w:rPr>
          <w:rFonts w:ascii="Arial" w:hAnsi="Arial" w:cs="Arial"/>
          <w:b w:val="0"/>
        </w:rPr>
      </w:pPr>
      <w:r>
        <w:rPr>
          <w:rFonts w:ascii="Arial" w:hAnsi="Arial" w:cs="Arial"/>
          <w:b w:val="0"/>
          <w:i w:val="0"/>
        </w:rPr>
        <w:t xml:space="preserve">Any reporting company filed </w:t>
      </w:r>
      <w:r w:rsidRPr="00502BFE">
        <w:rPr>
          <w:rFonts w:ascii="Arial" w:hAnsi="Arial" w:cs="Arial"/>
          <w:i w:val="0"/>
        </w:rPr>
        <w:t>AFTER</w:t>
      </w:r>
      <w:r>
        <w:rPr>
          <w:rFonts w:ascii="Arial" w:hAnsi="Arial" w:cs="Arial"/>
          <w:b w:val="0"/>
          <w:i w:val="0"/>
        </w:rPr>
        <w:t xml:space="preserve"> January 1</w:t>
      </w:r>
      <w:r w:rsidRPr="00502BFE">
        <w:rPr>
          <w:rFonts w:ascii="Arial" w:hAnsi="Arial" w:cs="Arial"/>
          <w:b w:val="0"/>
          <w:i w:val="0"/>
          <w:vertAlign w:val="superscript"/>
        </w:rPr>
        <w:t>st</w:t>
      </w:r>
      <w:r w:rsidR="0022252C">
        <w:rPr>
          <w:rFonts w:ascii="Arial" w:hAnsi="Arial" w:cs="Arial"/>
          <w:b w:val="0"/>
          <w:i w:val="0"/>
        </w:rPr>
        <w:t xml:space="preserve"> 2024 will have 9</w:t>
      </w:r>
      <w:r>
        <w:rPr>
          <w:rFonts w:ascii="Arial" w:hAnsi="Arial" w:cs="Arial"/>
          <w:b w:val="0"/>
          <w:i w:val="0"/>
        </w:rPr>
        <w:t xml:space="preserve">0 days from the date of formation to file their first Beneficial Ownership report. We recommend filing within 30 days from submitting the filing in order to be in compliance. All beneficial ownership reports have to be filed on </w:t>
      </w:r>
      <w:hyperlink r:id="rId6" w:history="1">
        <w:r w:rsidRPr="00172E04">
          <w:rPr>
            <w:rStyle w:val="Hyperlink"/>
            <w:rFonts w:ascii="Arial" w:hAnsi="Arial" w:cs="Arial"/>
            <w:b w:val="0"/>
          </w:rPr>
          <w:t>www.fincen.gov/boi</w:t>
        </w:r>
      </w:hyperlink>
      <w:r>
        <w:rPr>
          <w:rFonts w:ascii="Arial" w:hAnsi="Arial" w:cs="Arial"/>
          <w:b w:val="0"/>
        </w:rPr>
        <w:t>.</w:t>
      </w:r>
    </w:p>
    <w:p w:rsidR="00F25A9F" w:rsidRDefault="00F25A9F" w:rsidP="0050531D">
      <w:pPr>
        <w:rPr>
          <w:rFonts w:ascii="Arial" w:hAnsi="Arial" w:cs="Arial"/>
          <w:b w:val="0"/>
        </w:rPr>
      </w:pPr>
    </w:p>
    <w:p w:rsidR="00F25A9F" w:rsidRPr="00477E08" w:rsidRDefault="00477E08" w:rsidP="0022252C">
      <w:pPr>
        <w:spacing w:line="276" w:lineRule="auto"/>
        <w:rPr>
          <w:rFonts w:ascii="Arial" w:hAnsi="Arial" w:cs="Arial"/>
        </w:rPr>
      </w:pPr>
      <w:r w:rsidRPr="00477E08">
        <w:rPr>
          <w:rFonts w:ascii="Arial" w:hAnsi="Arial" w:cs="Arial"/>
        </w:rPr>
        <w:t>*</w:t>
      </w:r>
      <w:r w:rsidR="00F25A9F" w:rsidRPr="00477E08">
        <w:rPr>
          <w:rFonts w:ascii="Arial" w:hAnsi="Arial" w:cs="Arial"/>
        </w:rPr>
        <w:t xml:space="preserve">All companies </w:t>
      </w:r>
      <w:r w:rsidR="00F25A9F" w:rsidRPr="00477E08">
        <w:rPr>
          <w:rFonts w:ascii="Arial" w:hAnsi="Arial" w:cs="Arial"/>
          <w:color w:val="FF0000"/>
        </w:rPr>
        <w:t xml:space="preserve">who do not comply </w:t>
      </w:r>
      <w:r w:rsidR="00F25A9F" w:rsidRPr="00477E08">
        <w:rPr>
          <w:rFonts w:ascii="Arial" w:hAnsi="Arial" w:cs="Arial"/>
        </w:rPr>
        <w:t xml:space="preserve">with Beneficial Ownership obligations and reporting are subject to civil and criminal penalties. </w:t>
      </w:r>
    </w:p>
    <w:p w:rsidR="00F25A9F" w:rsidRDefault="00F25A9F" w:rsidP="0022252C">
      <w:pPr>
        <w:spacing w:line="276" w:lineRule="auto"/>
        <w:rPr>
          <w:rFonts w:ascii="Arial" w:hAnsi="Arial" w:cs="Arial"/>
          <w:b w:val="0"/>
          <w:i w:val="0"/>
        </w:rPr>
      </w:pPr>
    </w:p>
    <w:p w:rsidR="0050531D" w:rsidRDefault="0050531D" w:rsidP="00502BFE">
      <w:pPr>
        <w:rPr>
          <w:rFonts w:ascii="Arial" w:hAnsi="Arial" w:cs="Arial"/>
          <w:b w:val="0"/>
          <w:i w:val="0"/>
        </w:rPr>
      </w:pPr>
    </w:p>
    <w:p w:rsidR="0050531D" w:rsidRPr="0050531D" w:rsidRDefault="0050531D" w:rsidP="0050531D">
      <w:pPr>
        <w:jc w:val="center"/>
        <w:rPr>
          <w:rFonts w:ascii="Arial" w:hAnsi="Arial" w:cs="Arial"/>
          <w:i w:val="0"/>
        </w:rPr>
      </w:pPr>
      <w:r w:rsidRPr="0050531D">
        <w:rPr>
          <w:rFonts w:ascii="Arial" w:hAnsi="Arial" w:cs="Arial"/>
          <w:i w:val="0"/>
        </w:rPr>
        <w:t>What is Included in A Beneficial Ownership Report?</w:t>
      </w:r>
    </w:p>
    <w:p w:rsidR="00D55A6B" w:rsidRDefault="00D55A6B">
      <w:pPr>
        <w:rPr>
          <w:rFonts w:ascii="Arial" w:hAnsi="Arial" w:cs="Arial"/>
          <w:b w:val="0"/>
          <w:i w:val="0"/>
        </w:rPr>
      </w:pPr>
    </w:p>
    <w:p w:rsidR="00E474A0" w:rsidRDefault="00E474A0" w:rsidP="0022252C">
      <w:pPr>
        <w:spacing w:line="276" w:lineRule="auto"/>
        <w:rPr>
          <w:rFonts w:ascii="Arial" w:hAnsi="Arial" w:cs="Arial"/>
          <w:b w:val="0"/>
          <w:i w:val="0"/>
        </w:rPr>
      </w:pPr>
      <w:r>
        <w:rPr>
          <w:rFonts w:ascii="Arial" w:hAnsi="Arial" w:cs="Arial"/>
          <w:b w:val="0"/>
          <w:i w:val="0"/>
        </w:rPr>
        <w:t>The Beneficial Ownership Report will include information about the company such as the name, DBA, TA, address of principal place of business, jurisdiction of formation, and EIN/TIN.</w:t>
      </w:r>
    </w:p>
    <w:p w:rsidR="00E474A0" w:rsidRDefault="00E474A0">
      <w:pPr>
        <w:rPr>
          <w:rFonts w:ascii="Arial" w:hAnsi="Arial" w:cs="Arial"/>
          <w:b w:val="0"/>
          <w:i w:val="0"/>
        </w:rPr>
      </w:pPr>
    </w:p>
    <w:p w:rsidR="0050531D" w:rsidRDefault="00502BFE" w:rsidP="0022252C">
      <w:pPr>
        <w:spacing w:line="276" w:lineRule="auto"/>
        <w:rPr>
          <w:rFonts w:ascii="Arial" w:hAnsi="Arial" w:cs="Arial"/>
          <w:b w:val="0"/>
          <w:i w:val="0"/>
        </w:rPr>
      </w:pPr>
      <w:r>
        <w:rPr>
          <w:rFonts w:ascii="Arial" w:hAnsi="Arial" w:cs="Arial"/>
          <w:b w:val="0"/>
          <w:i w:val="0"/>
        </w:rPr>
        <w:t xml:space="preserve">The Beneficial Ownership Report will require information regarding individuals who directly exercises substantial control </w:t>
      </w:r>
      <w:r w:rsidR="00E92452">
        <w:rPr>
          <w:rFonts w:ascii="Arial" w:hAnsi="Arial" w:cs="Arial"/>
          <w:b w:val="0"/>
          <w:i w:val="0"/>
        </w:rPr>
        <w:t>(</w:t>
      </w:r>
      <w:r>
        <w:rPr>
          <w:rFonts w:ascii="Arial" w:hAnsi="Arial" w:cs="Arial"/>
          <w:b w:val="0"/>
          <w:i w:val="0"/>
        </w:rPr>
        <w:t xml:space="preserve">such as </w:t>
      </w:r>
      <w:r w:rsidR="00E92452">
        <w:rPr>
          <w:rFonts w:ascii="Arial" w:hAnsi="Arial" w:cs="Arial"/>
          <w:b w:val="0"/>
          <w:i w:val="0"/>
        </w:rPr>
        <w:t xml:space="preserve">the company’s president, CEO, CFO, individuals who can appoint or remove officers, and individuals who are important decision makers). The Report will also require information regarding individuals who owns or controls at least 25% of the company’s ownership interests. </w:t>
      </w:r>
      <w:r w:rsidR="007056DA">
        <w:rPr>
          <w:rFonts w:ascii="Arial" w:hAnsi="Arial" w:cs="Arial"/>
          <w:b w:val="0"/>
          <w:i w:val="0"/>
        </w:rPr>
        <w:t>This information is to include the name, date of birth, residential address (cannot be a P.O. Box), and identifying number from an identification document such as a driver’s licens</w:t>
      </w:r>
      <w:r w:rsidR="00882945">
        <w:rPr>
          <w:rFonts w:ascii="Arial" w:hAnsi="Arial" w:cs="Arial"/>
          <w:b w:val="0"/>
          <w:i w:val="0"/>
        </w:rPr>
        <w:t xml:space="preserve">e or passport. </w:t>
      </w:r>
    </w:p>
    <w:p w:rsidR="0050531D" w:rsidRDefault="0050531D" w:rsidP="0022252C">
      <w:pPr>
        <w:spacing w:line="276" w:lineRule="auto"/>
        <w:rPr>
          <w:rFonts w:ascii="Arial" w:hAnsi="Arial" w:cs="Arial"/>
          <w:b w:val="0"/>
          <w:i w:val="0"/>
        </w:rPr>
      </w:pPr>
    </w:p>
    <w:p w:rsidR="0050531D" w:rsidRDefault="0050531D" w:rsidP="0022252C">
      <w:pPr>
        <w:pStyle w:val="ListParagraph"/>
        <w:numPr>
          <w:ilvl w:val="0"/>
          <w:numId w:val="6"/>
        </w:numPr>
        <w:spacing w:line="276" w:lineRule="auto"/>
        <w:rPr>
          <w:rFonts w:ascii="Arial" w:hAnsi="Arial" w:cs="Arial"/>
          <w:b w:val="0"/>
        </w:rPr>
      </w:pPr>
      <w:r>
        <w:rPr>
          <w:rFonts w:ascii="Arial" w:hAnsi="Arial" w:cs="Arial"/>
          <w:b w:val="0"/>
        </w:rPr>
        <w:t>For a</w:t>
      </w:r>
      <w:r w:rsidR="007056DA" w:rsidRPr="0050531D">
        <w:rPr>
          <w:rFonts w:ascii="Arial" w:hAnsi="Arial" w:cs="Arial"/>
          <w:b w:val="0"/>
        </w:rPr>
        <w:t xml:space="preserve">n exhaustive list of acceptable documents </w:t>
      </w:r>
      <w:r>
        <w:rPr>
          <w:rFonts w:ascii="Arial" w:hAnsi="Arial" w:cs="Arial"/>
          <w:b w:val="0"/>
        </w:rPr>
        <w:t>visit</w:t>
      </w:r>
      <w:r w:rsidR="007056DA" w:rsidRPr="0050531D">
        <w:rPr>
          <w:rFonts w:ascii="Arial" w:hAnsi="Arial" w:cs="Arial"/>
          <w:b w:val="0"/>
        </w:rPr>
        <w:t xml:space="preserve"> </w:t>
      </w:r>
      <w:hyperlink r:id="rId7" w:history="1">
        <w:r w:rsidRPr="00172E04">
          <w:rPr>
            <w:rStyle w:val="Hyperlink"/>
            <w:rFonts w:ascii="Arial" w:hAnsi="Arial" w:cs="Arial"/>
            <w:b w:val="0"/>
          </w:rPr>
          <w:t>www.fincen.gov/boi</w:t>
        </w:r>
      </w:hyperlink>
      <w:r w:rsidR="00882945" w:rsidRPr="0050531D">
        <w:rPr>
          <w:rFonts w:ascii="Arial" w:hAnsi="Arial" w:cs="Arial"/>
          <w:b w:val="0"/>
        </w:rPr>
        <w:t>.</w:t>
      </w:r>
    </w:p>
    <w:p w:rsidR="0050531D" w:rsidRPr="0050531D" w:rsidRDefault="00882945" w:rsidP="0022252C">
      <w:pPr>
        <w:pStyle w:val="ListParagraph"/>
        <w:numPr>
          <w:ilvl w:val="0"/>
          <w:numId w:val="6"/>
        </w:numPr>
        <w:spacing w:line="276" w:lineRule="auto"/>
        <w:rPr>
          <w:rFonts w:ascii="Arial" w:hAnsi="Arial" w:cs="Arial"/>
          <w:b w:val="0"/>
        </w:rPr>
      </w:pPr>
      <w:r w:rsidRPr="0050531D">
        <w:rPr>
          <w:rFonts w:ascii="Arial" w:hAnsi="Arial" w:cs="Arial"/>
          <w:b w:val="0"/>
        </w:rPr>
        <w:t xml:space="preserve">For an exhaustive list of who is considered an individual with direct or indirect beneficial ownership </w:t>
      </w:r>
      <w:r w:rsidR="0050531D">
        <w:rPr>
          <w:rFonts w:ascii="Arial" w:hAnsi="Arial" w:cs="Arial"/>
          <w:b w:val="0"/>
        </w:rPr>
        <w:t>please visit</w:t>
      </w:r>
      <w:r w:rsidRPr="0050531D">
        <w:rPr>
          <w:rFonts w:ascii="Arial" w:hAnsi="Arial" w:cs="Arial"/>
          <w:b w:val="0"/>
        </w:rPr>
        <w:t xml:space="preserve"> </w:t>
      </w:r>
      <w:hyperlink r:id="rId8" w:history="1">
        <w:r w:rsidR="0050531D" w:rsidRPr="00172E04">
          <w:rPr>
            <w:rStyle w:val="Hyperlink"/>
            <w:rFonts w:ascii="Arial" w:hAnsi="Arial" w:cs="Arial"/>
            <w:b w:val="0"/>
          </w:rPr>
          <w:t>www.fincen</w:t>
        </w:r>
      </w:hyperlink>
      <w:r w:rsidRPr="0050531D">
        <w:rPr>
          <w:rFonts w:ascii="Arial" w:hAnsi="Arial" w:cs="Arial"/>
          <w:b w:val="0"/>
          <w:u w:val="single"/>
        </w:rPr>
        <w:t>.gov/boi</w:t>
      </w:r>
      <w:r w:rsidRPr="0050531D">
        <w:rPr>
          <w:rFonts w:ascii="Arial" w:hAnsi="Arial" w:cs="Arial"/>
          <w:b w:val="0"/>
        </w:rPr>
        <w:t>.</w:t>
      </w:r>
      <w:r w:rsidR="0050531D" w:rsidRPr="0050531D">
        <w:rPr>
          <w:rFonts w:ascii="Arial" w:hAnsi="Arial" w:cs="Arial"/>
          <w:b w:val="0"/>
          <w:i w:val="0"/>
        </w:rPr>
        <w:t xml:space="preserve"> </w:t>
      </w:r>
    </w:p>
    <w:p w:rsidR="0050531D" w:rsidRPr="0050531D" w:rsidRDefault="0050531D" w:rsidP="0022252C">
      <w:pPr>
        <w:pStyle w:val="ListParagraph"/>
        <w:numPr>
          <w:ilvl w:val="0"/>
          <w:numId w:val="6"/>
        </w:numPr>
        <w:spacing w:line="276" w:lineRule="auto"/>
        <w:rPr>
          <w:rFonts w:ascii="Arial" w:hAnsi="Arial" w:cs="Arial"/>
          <w:b w:val="0"/>
        </w:rPr>
      </w:pPr>
      <w:r w:rsidRPr="0050531D">
        <w:rPr>
          <w:rFonts w:ascii="Arial" w:hAnsi="Arial" w:cs="Arial"/>
          <w:b w:val="0"/>
          <w:i w:val="0"/>
        </w:rPr>
        <w:t>There are five exceptions to an individual having to be included in the Beneficial Ownership Report.</w:t>
      </w:r>
      <w:r w:rsidRPr="0050531D">
        <w:rPr>
          <w:rFonts w:ascii="Arial" w:hAnsi="Arial" w:cs="Arial"/>
          <w:b w:val="0"/>
        </w:rPr>
        <w:t xml:space="preserve"> If you have a question about if an individual is exempt please go to </w:t>
      </w:r>
      <w:hyperlink r:id="rId9" w:history="1">
        <w:r w:rsidRPr="00172E04">
          <w:rPr>
            <w:rStyle w:val="Hyperlink"/>
            <w:rFonts w:ascii="Arial" w:hAnsi="Arial" w:cs="Arial"/>
            <w:b w:val="0"/>
          </w:rPr>
          <w:t>www.fincen</w:t>
        </w:r>
      </w:hyperlink>
      <w:r w:rsidRPr="0050531D">
        <w:rPr>
          <w:rFonts w:ascii="Arial" w:hAnsi="Arial" w:cs="Arial"/>
          <w:b w:val="0"/>
          <w:u w:val="single"/>
        </w:rPr>
        <w:t>.gov/boi</w:t>
      </w:r>
      <w:r w:rsidRPr="0050531D">
        <w:rPr>
          <w:rFonts w:ascii="Arial" w:hAnsi="Arial" w:cs="Arial"/>
          <w:b w:val="0"/>
        </w:rPr>
        <w:t>.</w:t>
      </w:r>
    </w:p>
    <w:p w:rsidR="00882945" w:rsidRPr="007056DA" w:rsidRDefault="00882945" w:rsidP="0050531D">
      <w:pPr>
        <w:ind w:left="720"/>
        <w:rPr>
          <w:rFonts w:ascii="Arial" w:hAnsi="Arial" w:cs="Arial"/>
          <w:b w:val="0"/>
        </w:rPr>
      </w:pPr>
    </w:p>
    <w:p w:rsidR="007056DA" w:rsidRDefault="007056DA">
      <w:pPr>
        <w:rPr>
          <w:rFonts w:ascii="Arial" w:hAnsi="Arial" w:cs="Arial"/>
          <w:b w:val="0"/>
          <w:i w:val="0"/>
        </w:rPr>
      </w:pPr>
    </w:p>
    <w:p w:rsidR="0050531D" w:rsidRDefault="0050531D" w:rsidP="0022252C">
      <w:pPr>
        <w:spacing w:line="276" w:lineRule="auto"/>
        <w:rPr>
          <w:rFonts w:ascii="Arial" w:hAnsi="Arial" w:cs="Arial"/>
          <w:b w:val="0"/>
          <w:i w:val="0"/>
        </w:rPr>
      </w:pPr>
      <w:r>
        <w:rPr>
          <w:rFonts w:ascii="Arial" w:hAnsi="Arial" w:cs="Arial"/>
          <w:b w:val="0"/>
          <w:i w:val="0"/>
        </w:rPr>
        <w:lastRenderedPageBreak/>
        <w:t xml:space="preserve">For reporting companies formed </w:t>
      </w:r>
      <w:r w:rsidRPr="00882945">
        <w:rPr>
          <w:rFonts w:ascii="Arial" w:hAnsi="Arial" w:cs="Arial"/>
          <w:i w:val="0"/>
        </w:rPr>
        <w:t>AFTER</w:t>
      </w:r>
      <w:r>
        <w:rPr>
          <w:rFonts w:ascii="Arial" w:hAnsi="Arial" w:cs="Arial"/>
          <w:b w:val="0"/>
          <w:i w:val="0"/>
        </w:rPr>
        <w:t xml:space="preserve"> January 1</w:t>
      </w:r>
      <w:r w:rsidRPr="00E474A0">
        <w:rPr>
          <w:rFonts w:ascii="Arial" w:hAnsi="Arial" w:cs="Arial"/>
          <w:b w:val="0"/>
          <w:i w:val="0"/>
          <w:vertAlign w:val="superscript"/>
        </w:rPr>
        <w:t>st</w:t>
      </w:r>
      <w:r>
        <w:rPr>
          <w:rFonts w:ascii="Arial" w:hAnsi="Arial" w:cs="Arial"/>
          <w:b w:val="0"/>
          <w:i w:val="0"/>
        </w:rPr>
        <w:t xml:space="preserve"> 2024, t</w:t>
      </w:r>
      <w:r w:rsidR="007056DA">
        <w:rPr>
          <w:rFonts w:ascii="Arial" w:hAnsi="Arial" w:cs="Arial"/>
          <w:b w:val="0"/>
          <w:i w:val="0"/>
        </w:rPr>
        <w:t>he Beneficial Ownership Report will also require information on company applicants such as (the individual who files the formation and/or the initiator of the filing</w:t>
      </w:r>
      <w:r w:rsidR="00882945">
        <w:rPr>
          <w:rFonts w:ascii="Arial" w:hAnsi="Arial" w:cs="Arial"/>
          <w:b w:val="0"/>
          <w:i w:val="0"/>
        </w:rPr>
        <w:t xml:space="preserve">. </w:t>
      </w:r>
      <w:r w:rsidR="007056DA">
        <w:rPr>
          <w:rFonts w:ascii="Arial" w:hAnsi="Arial" w:cs="Arial"/>
          <w:b w:val="0"/>
          <w:i w:val="0"/>
        </w:rPr>
        <w:t>This information is to include the name, date of birth, residential address (</w:t>
      </w:r>
      <w:r>
        <w:rPr>
          <w:rFonts w:ascii="Arial" w:hAnsi="Arial" w:cs="Arial"/>
          <w:b w:val="0"/>
          <w:i w:val="0"/>
        </w:rPr>
        <w:t xml:space="preserve">it </w:t>
      </w:r>
      <w:r w:rsidR="007056DA">
        <w:rPr>
          <w:rFonts w:ascii="Arial" w:hAnsi="Arial" w:cs="Arial"/>
          <w:b w:val="0"/>
          <w:i w:val="0"/>
        </w:rPr>
        <w:t xml:space="preserve">cannot be a P.O. Box), and </w:t>
      </w:r>
      <w:r>
        <w:rPr>
          <w:rFonts w:ascii="Arial" w:hAnsi="Arial" w:cs="Arial"/>
          <w:b w:val="0"/>
          <w:i w:val="0"/>
        </w:rPr>
        <w:t xml:space="preserve">an </w:t>
      </w:r>
      <w:r w:rsidR="007056DA">
        <w:rPr>
          <w:rFonts w:ascii="Arial" w:hAnsi="Arial" w:cs="Arial"/>
          <w:b w:val="0"/>
          <w:i w:val="0"/>
        </w:rPr>
        <w:t>identifying number from an identification document such as a driver’s licens</w:t>
      </w:r>
      <w:r w:rsidR="00882945">
        <w:rPr>
          <w:rFonts w:ascii="Arial" w:hAnsi="Arial" w:cs="Arial"/>
          <w:b w:val="0"/>
          <w:i w:val="0"/>
        </w:rPr>
        <w:t xml:space="preserve">e or passport. </w:t>
      </w:r>
    </w:p>
    <w:p w:rsidR="0050531D" w:rsidRDefault="0050531D" w:rsidP="0022252C">
      <w:pPr>
        <w:spacing w:line="276" w:lineRule="auto"/>
        <w:rPr>
          <w:rFonts w:ascii="Arial" w:hAnsi="Arial" w:cs="Arial"/>
          <w:b w:val="0"/>
          <w:i w:val="0"/>
        </w:rPr>
      </w:pPr>
    </w:p>
    <w:p w:rsidR="0050531D" w:rsidRDefault="007056DA" w:rsidP="0050531D">
      <w:pPr>
        <w:pStyle w:val="ListParagraph"/>
        <w:numPr>
          <w:ilvl w:val="0"/>
          <w:numId w:val="7"/>
        </w:numPr>
        <w:rPr>
          <w:rFonts w:ascii="Arial" w:hAnsi="Arial" w:cs="Arial"/>
          <w:b w:val="0"/>
          <w:i w:val="0"/>
        </w:rPr>
      </w:pPr>
      <w:r w:rsidRPr="0050531D">
        <w:rPr>
          <w:rFonts w:ascii="Arial" w:hAnsi="Arial" w:cs="Arial"/>
          <w:b w:val="0"/>
        </w:rPr>
        <w:t xml:space="preserve">Please see </w:t>
      </w:r>
      <w:hyperlink r:id="rId10" w:history="1">
        <w:r w:rsidR="00882945" w:rsidRPr="0050531D">
          <w:rPr>
            <w:rStyle w:val="Hyperlink"/>
            <w:rFonts w:ascii="Arial" w:hAnsi="Arial" w:cs="Arial"/>
            <w:b w:val="0"/>
          </w:rPr>
          <w:t>www.fincen.gov/boi</w:t>
        </w:r>
      </w:hyperlink>
      <w:r w:rsidR="00882945" w:rsidRPr="0050531D">
        <w:rPr>
          <w:rFonts w:ascii="Arial" w:hAnsi="Arial" w:cs="Arial"/>
          <w:b w:val="0"/>
        </w:rPr>
        <w:t xml:space="preserve"> </w:t>
      </w:r>
      <w:r w:rsidRPr="0050531D">
        <w:rPr>
          <w:rFonts w:ascii="Arial" w:hAnsi="Arial" w:cs="Arial"/>
          <w:b w:val="0"/>
        </w:rPr>
        <w:t>for questions about who is considered a company applicant.</w:t>
      </w:r>
      <w:r w:rsidR="00882945" w:rsidRPr="0050531D">
        <w:rPr>
          <w:rFonts w:ascii="Arial" w:hAnsi="Arial" w:cs="Arial"/>
          <w:b w:val="0"/>
          <w:i w:val="0"/>
        </w:rPr>
        <w:t xml:space="preserve"> </w:t>
      </w:r>
    </w:p>
    <w:p w:rsidR="007056DA" w:rsidRPr="0050531D" w:rsidRDefault="007056DA" w:rsidP="0050531D">
      <w:pPr>
        <w:pStyle w:val="ListParagraph"/>
        <w:numPr>
          <w:ilvl w:val="0"/>
          <w:numId w:val="7"/>
        </w:numPr>
        <w:rPr>
          <w:rFonts w:ascii="Arial" w:hAnsi="Arial" w:cs="Arial"/>
          <w:b w:val="0"/>
          <w:i w:val="0"/>
        </w:rPr>
      </w:pPr>
      <w:r w:rsidRPr="0050531D">
        <w:rPr>
          <w:rFonts w:ascii="Arial" w:hAnsi="Arial" w:cs="Arial"/>
          <w:b w:val="0"/>
        </w:rPr>
        <w:t xml:space="preserve">An exhaustive list of acceptable documents are specified on the </w:t>
      </w:r>
      <w:hyperlink r:id="rId11" w:history="1">
        <w:r w:rsidR="0050531D" w:rsidRPr="00172E04">
          <w:rPr>
            <w:rStyle w:val="Hyperlink"/>
            <w:rFonts w:ascii="Arial" w:hAnsi="Arial" w:cs="Arial"/>
            <w:b w:val="0"/>
          </w:rPr>
          <w:t>www.fincen</w:t>
        </w:r>
      </w:hyperlink>
      <w:r w:rsidR="00882945" w:rsidRPr="0050531D">
        <w:rPr>
          <w:rFonts w:ascii="Arial" w:hAnsi="Arial" w:cs="Arial"/>
          <w:b w:val="0"/>
          <w:u w:val="single"/>
        </w:rPr>
        <w:t>.gov/boi</w:t>
      </w:r>
      <w:r w:rsidR="00882945" w:rsidRPr="0050531D">
        <w:rPr>
          <w:rFonts w:ascii="Arial" w:hAnsi="Arial" w:cs="Arial"/>
          <w:b w:val="0"/>
        </w:rPr>
        <w:t>.</w:t>
      </w:r>
    </w:p>
    <w:p w:rsidR="00E92452" w:rsidRPr="007056DA" w:rsidRDefault="00E92452" w:rsidP="00E92452">
      <w:pPr>
        <w:rPr>
          <w:rFonts w:ascii="Arial" w:hAnsi="Arial" w:cs="Arial"/>
          <w:b w:val="0"/>
        </w:rPr>
      </w:pPr>
    </w:p>
    <w:p w:rsidR="00BB4E12" w:rsidRDefault="00BB4E12" w:rsidP="0050531D">
      <w:pPr>
        <w:jc w:val="center"/>
        <w:rPr>
          <w:rFonts w:ascii="Arial" w:hAnsi="Arial" w:cs="Arial"/>
          <w:i w:val="0"/>
          <w:u w:val="single"/>
        </w:rPr>
      </w:pPr>
    </w:p>
    <w:p w:rsidR="007C6A80" w:rsidRPr="0050531D" w:rsidRDefault="007C6A80" w:rsidP="007C6A80">
      <w:pPr>
        <w:jc w:val="center"/>
        <w:rPr>
          <w:rFonts w:ascii="Arial" w:hAnsi="Arial" w:cs="Arial"/>
          <w:i w:val="0"/>
          <w:u w:val="single"/>
        </w:rPr>
      </w:pPr>
      <w:r w:rsidRPr="0050531D">
        <w:rPr>
          <w:rFonts w:ascii="Arial" w:hAnsi="Arial" w:cs="Arial"/>
          <w:i w:val="0"/>
          <w:u w:val="single"/>
        </w:rPr>
        <w:t xml:space="preserve">Important Things to </w:t>
      </w:r>
      <w:r>
        <w:rPr>
          <w:rFonts w:ascii="Arial" w:hAnsi="Arial" w:cs="Arial"/>
          <w:i w:val="0"/>
          <w:u w:val="single"/>
        </w:rPr>
        <w:t>Note</w:t>
      </w:r>
    </w:p>
    <w:p w:rsidR="007C6A80" w:rsidRDefault="007C6A80" w:rsidP="007C6A80">
      <w:pPr>
        <w:rPr>
          <w:rFonts w:ascii="Arial" w:hAnsi="Arial" w:cs="Arial"/>
          <w:b w:val="0"/>
          <w:i w:val="0"/>
        </w:rPr>
      </w:pPr>
    </w:p>
    <w:p w:rsidR="007C6A80" w:rsidRPr="00502BFE" w:rsidRDefault="007C6A80" w:rsidP="007C6A80">
      <w:pPr>
        <w:rPr>
          <w:rFonts w:ascii="Arial" w:hAnsi="Arial" w:cs="Arial"/>
          <w:b w:val="0"/>
          <w:i w:val="0"/>
        </w:rPr>
      </w:pPr>
    </w:p>
    <w:p w:rsidR="007C6A80" w:rsidRPr="0050531D" w:rsidRDefault="007C6A80" w:rsidP="0022252C">
      <w:pPr>
        <w:pStyle w:val="ListParagraph"/>
        <w:numPr>
          <w:ilvl w:val="0"/>
          <w:numId w:val="8"/>
        </w:numPr>
        <w:spacing w:line="276" w:lineRule="auto"/>
        <w:rPr>
          <w:rFonts w:ascii="Arial" w:hAnsi="Arial" w:cs="Arial"/>
          <w:b w:val="0"/>
          <w:i w:val="0"/>
        </w:rPr>
      </w:pPr>
      <w:r w:rsidRPr="0050531D">
        <w:rPr>
          <w:rFonts w:ascii="Arial" w:hAnsi="Arial" w:cs="Arial"/>
          <w:b w:val="0"/>
          <w:i w:val="0"/>
        </w:rPr>
        <w:t xml:space="preserve">If there are changes to Beneficial Ownership information such as an amendment to the company name, a change in beneficial owners, or changes to owner’s names/addresses/identifying document numbers, all changes to Beneficial Ownership information </w:t>
      </w:r>
      <w:r w:rsidRPr="0050531D">
        <w:rPr>
          <w:rFonts w:ascii="Arial" w:hAnsi="Arial" w:cs="Arial"/>
          <w:i w:val="0"/>
        </w:rPr>
        <w:t>MUST</w:t>
      </w:r>
      <w:r w:rsidRPr="0050531D">
        <w:rPr>
          <w:rFonts w:ascii="Arial" w:hAnsi="Arial" w:cs="Arial"/>
          <w:b w:val="0"/>
          <w:i w:val="0"/>
        </w:rPr>
        <w:t xml:space="preserve"> be reported within 30 days of the change.</w:t>
      </w:r>
    </w:p>
    <w:p w:rsidR="007C6A80" w:rsidRDefault="007C6A80" w:rsidP="007C6A80">
      <w:pPr>
        <w:rPr>
          <w:rFonts w:ascii="Arial" w:hAnsi="Arial" w:cs="Arial"/>
          <w:b w:val="0"/>
          <w:i w:val="0"/>
        </w:rPr>
      </w:pPr>
    </w:p>
    <w:p w:rsidR="007C6A80" w:rsidRPr="0050531D" w:rsidRDefault="007C6A80" w:rsidP="0022252C">
      <w:pPr>
        <w:pStyle w:val="ListParagraph"/>
        <w:numPr>
          <w:ilvl w:val="0"/>
          <w:numId w:val="8"/>
        </w:numPr>
        <w:spacing w:line="276" w:lineRule="auto"/>
        <w:rPr>
          <w:rFonts w:ascii="Arial" w:hAnsi="Arial" w:cs="Arial"/>
          <w:b w:val="0"/>
          <w:i w:val="0"/>
        </w:rPr>
      </w:pPr>
      <w:r w:rsidRPr="0050531D">
        <w:rPr>
          <w:rFonts w:ascii="Arial" w:hAnsi="Arial" w:cs="Arial"/>
          <w:b w:val="0"/>
          <w:i w:val="0"/>
        </w:rPr>
        <w:t xml:space="preserve">If an error on the Beneficial Ownership Report is identified, all changes </w:t>
      </w:r>
      <w:r w:rsidRPr="0050531D">
        <w:rPr>
          <w:rFonts w:ascii="Arial" w:hAnsi="Arial" w:cs="Arial"/>
          <w:i w:val="0"/>
        </w:rPr>
        <w:t>MUST</w:t>
      </w:r>
      <w:r w:rsidRPr="0050531D">
        <w:rPr>
          <w:rFonts w:ascii="Arial" w:hAnsi="Arial" w:cs="Arial"/>
          <w:b w:val="0"/>
          <w:i w:val="0"/>
        </w:rPr>
        <w:t xml:space="preserve"> be reported within 30 days via a corrected report filed on the </w:t>
      </w:r>
      <w:r w:rsidRPr="0050531D">
        <w:rPr>
          <w:rFonts w:ascii="Arial" w:hAnsi="Arial" w:cs="Arial"/>
          <w:b w:val="0"/>
          <w:u w:val="single"/>
        </w:rPr>
        <w:t>www.fincen.gov/boi</w:t>
      </w:r>
      <w:r w:rsidRPr="0050531D">
        <w:rPr>
          <w:rFonts w:ascii="Arial" w:hAnsi="Arial" w:cs="Arial"/>
          <w:b w:val="0"/>
        </w:rPr>
        <w:t>.</w:t>
      </w:r>
    </w:p>
    <w:p w:rsidR="007C6A80" w:rsidRDefault="007C6A80" w:rsidP="0022252C">
      <w:pPr>
        <w:spacing w:line="276" w:lineRule="auto"/>
        <w:rPr>
          <w:rFonts w:ascii="Arial" w:hAnsi="Arial" w:cs="Arial"/>
          <w:b w:val="0"/>
          <w:i w:val="0"/>
        </w:rPr>
      </w:pPr>
    </w:p>
    <w:p w:rsidR="007C6A80" w:rsidRPr="0050531D" w:rsidRDefault="007C6A80" w:rsidP="0022252C">
      <w:pPr>
        <w:pStyle w:val="ListParagraph"/>
        <w:numPr>
          <w:ilvl w:val="0"/>
          <w:numId w:val="8"/>
        </w:numPr>
        <w:spacing w:line="276" w:lineRule="auto"/>
        <w:rPr>
          <w:rFonts w:ascii="Arial" w:hAnsi="Arial" w:cs="Arial"/>
        </w:rPr>
      </w:pPr>
      <w:r w:rsidRPr="0050531D">
        <w:rPr>
          <w:rFonts w:ascii="Arial" w:hAnsi="Arial" w:cs="Arial"/>
        </w:rPr>
        <w:t xml:space="preserve">All companies who do not comply with Beneficial Ownership obligations and reporting are subject to civil and criminal penalties. </w:t>
      </w:r>
    </w:p>
    <w:p w:rsidR="007C6A80" w:rsidRDefault="007C6A80" w:rsidP="007C6A80">
      <w:pPr>
        <w:rPr>
          <w:rFonts w:ascii="Arial" w:hAnsi="Arial" w:cs="Arial"/>
          <w:b w:val="0"/>
          <w:i w:val="0"/>
        </w:rPr>
      </w:pPr>
    </w:p>
    <w:p w:rsidR="007C6A80" w:rsidRPr="0050531D" w:rsidRDefault="007C6A80" w:rsidP="0022252C">
      <w:pPr>
        <w:pStyle w:val="ListParagraph"/>
        <w:numPr>
          <w:ilvl w:val="0"/>
          <w:numId w:val="8"/>
        </w:numPr>
        <w:spacing w:line="276" w:lineRule="auto"/>
        <w:rPr>
          <w:rFonts w:ascii="Arial" w:hAnsi="Arial" w:cs="Arial"/>
          <w:b w:val="0"/>
          <w:i w:val="0"/>
        </w:rPr>
      </w:pPr>
      <w:r w:rsidRPr="0050531D">
        <w:rPr>
          <w:rFonts w:ascii="Arial" w:hAnsi="Arial" w:cs="Arial"/>
          <w:b w:val="0"/>
          <w:i w:val="0"/>
        </w:rPr>
        <w:t xml:space="preserve">Reporting companies will have the option of applying for a </w:t>
      </w:r>
      <w:proofErr w:type="spellStart"/>
      <w:r w:rsidRPr="0050531D">
        <w:rPr>
          <w:rFonts w:ascii="Arial" w:hAnsi="Arial" w:cs="Arial"/>
          <w:b w:val="0"/>
          <w:i w:val="0"/>
        </w:rPr>
        <w:t>FinCEN</w:t>
      </w:r>
      <w:proofErr w:type="spellEnd"/>
      <w:r w:rsidRPr="0050531D">
        <w:rPr>
          <w:rFonts w:ascii="Arial" w:hAnsi="Arial" w:cs="Arial"/>
          <w:b w:val="0"/>
          <w:i w:val="0"/>
        </w:rPr>
        <w:t xml:space="preserve"> identifier that will provide them a unique identifying number in lieu of having to provide personal information during reporting. For more information on </w:t>
      </w:r>
      <w:proofErr w:type="spellStart"/>
      <w:r w:rsidRPr="0050531D">
        <w:rPr>
          <w:rFonts w:ascii="Arial" w:hAnsi="Arial" w:cs="Arial"/>
          <w:b w:val="0"/>
          <w:i w:val="0"/>
        </w:rPr>
        <w:t>FinCEN</w:t>
      </w:r>
      <w:proofErr w:type="spellEnd"/>
      <w:r w:rsidRPr="0050531D">
        <w:rPr>
          <w:rFonts w:ascii="Arial" w:hAnsi="Arial" w:cs="Arial"/>
          <w:b w:val="0"/>
          <w:i w:val="0"/>
        </w:rPr>
        <w:t xml:space="preserve"> identifiers please visit </w:t>
      </w:r>
      <w:r w:rsidRPr="0050531D">
        <w:rPr>
          <w:rFonts w:ascii="Arial" w:hAnsi="Arial" w:cs="Arial"/>
          <w:b w:val="0"/>
          <w:u w:val="single"/>
        </w:rPr>
        <w:t>www.fincen.gov/boi</w:t>
      </w:r>
      <w:r w:rsidRPr="0050531D">
        <w:rPr>
          <w:rFonts w:ascii="Arial" w:hAnsi="Arial" w:cs="Arial"/>
          <w:b w:val="0"/>
        </w:rPr>
        <w:t>.</w:t>
      </w:r>
    </w:p>
    <w:p w:rsidR="007C6A80" w:rsidRDefault="007C6A80" w:rsidP="007C6A80">
      <w:pPr>
        <w:rPr>
          <w:rFonts w:ascii="Arial" w:hAnsi="Arial" w:cs="Arial"/>
          <w:b w:val="0"/>
          <w:i w:val="0"/>
        </w:rPr>
      </w:pPr>
    </w:p>
    <w:p w:rsidR="007C6A80" w:rsidRDefault="007C6A80" w:rsidP="0022252C">
      <w:pPr>
        <w:spacing w:line="276" w:lineRule="auto"/>
        <w:rPr>
          <w:rFonts w:ascii="Arial" w:hAnsi="Arial" w:cs="Arial"/>
          <w:b w:val="0"/>
          <w:i w:val="0"/>
        </w:rPr>
      </w:pPr>
      <w:r>
        <w:rPr>
          <w:rFonts w:ascii="Arial" w:hAnsi="Arial" w:cs="Arial"/>
          <w:b w:val="0"/>
          <w:i w:val="0"/>
        </w:rPr>
        <w:t xml:space="preserve">Continue to go to </w:t>
      </w:r>
      <w:hyperlink r:id="rId12" w:history="1">
        <w:r w:rsidRPr="00172E04">
          <w:rPr>
            <w:rStyle w:val="Hyperlink"/>
            <w:rFonts w:ascii="Arial" w:hAnsi="Arial" w:cs="Arial"/>
            <w:b w:val="0"/>
          </w:rPr>
          <w:t>www.fincen.gov/boi</w:t>
        </w:r>
      </w:hyperlink>
      <w:r>
        <w:rPr>
          <w:rFonts w:ascii="Arial" w:hAnsi="Arial" w:cs="Arial"/>
          <w:b w:val="0"/>
          <w:u w:val="single"/>
        </w:rPr>
        <w:t xml:space="preserve"> </w:t>
      </w:r>
      <w:r w:rsidRPr="00BA19D4">
        <w:rPr>
          <w:rFonts w:ascii="Arial" w:hAnsi="Arial" w:cs="Arial"/>
          <w:b w:val="0"/>
        </w:rPr>
        <w:t xml:space="preserve">for </w:t>
      </w:r>
      <w:r>
        <w:rPr>
          <w:rFonts w:ascii="Arial" w:hAnsi="Arial" w:cs="Arial"/>
          <w:b w:val="0"/>
        </w:rPr>
        <w:t>updates, as changes and updates to the process are expected within the first year or so as this new process is implemented.</w:t>
      </w:r>
    </w:p>
    <w:p w:rsidR="007C6A80" w:rsidRDefault="007C6A80" w:rsidP="0022252C">
      <w:pPr>
        <w:spacing w:line="276" w:lineRule="auto"/>
        <w:rPr>
          <w:rFonts w:ascii="Arial" w:hAnsi="Arial" w:cs="Arial"/>
          <w:b w:val="0"/>
          <w:i w:val="0"/>
        </w:rPr>
      </w:pPr>
    </w:p>
    <w:p w:rsidR="007C6A80" w:rsidRDefault="007C6A80" w:rsidP="0022252C">
      <w:pPr>
        <w:spacing w:line="276" w:lineRule="auto"/>
        <w:rPr>
          <w:rFonts w:ascii="Arial" w:hAnsi="Arial" w:cs="Arial"/>
          <w:b w:val="0"/>
          <w:i w:val="0"/>
        </w:rPr>
      </w:pPr>
      <w:r>
        <w:rPr>
          <w:rFonts w:ascii="Arial" w:hAnsi="Arial" w:cs="Arial"/>
          <w:b w:val="0"/>
          <w:i w:val="0"/>
        </w:rPr>
        <w:t xml:space="preserve">This notification does not replace guidance from legal counsel and examination of the rules and regulations posted on the </w:t>
      </w:r>
      <w:proofErr w:type="spellStart"/>
      <w:r>
        <w:rPr>
          <w:rFonts w:ascii="Arial" w:hAnsi="Arial" w:cs="Arial"/>
          <w:b w:val="0"/>
          <w:i w:val="0"/>
        </w:rPr>
        <w:t>FinCEN</w:t>
      </w:r>
      <w:proofErr w:type="spellEnd"/>
      <w:r>
        <w:rPr>
          <w:rFonts w:ascii="Arial" w:hAnsi="Arial" w:cs="Arial"/>
          <w:b w:val="0"/>
          <w:i w:val="0"/>
        </w:rPr>
        <w:t xml:space="preserve"> website, </w:t>
      </w:r>
      <w:hyperlink r:id="rId13" w:history="1">
        <w:r w:rsidRPr="00172E04">
          <w:rPr>
            <w:rStyle w:val="Hyperlink"/>
            <w:rFonts w:ascii="Arial" w:hAnsi="Arial" w:cs="Arial"/>
            <w:b w:val="0"/>
          </w:rPr>
          <w:t>www.fincen.gov/boi</w:t>
        </w:r>
      </w:hyperlink>
      <w:r>
        <w:rPr>
          <w:rFonts w:ascii="Arial" w:hAnsi="Arial" w:cs="Arial"/>
          <w:b w:val="0"/>
          <w:u w:val="single"/>
        </w:rPr>
        <w:t>.</w:t>
      </w:r>
    </w:p>
    <w:p w:rsidR="007C6A80" w:rsidRDefault="007C6A80" w:rsidP="0022252C">
      <w:pPr>
        <w:spacing w:line="276" w:lineRule="auto"/>
        <w:rPr>
          <w:rFonts w:ascii="Arial" w:hAnsi="Arial" w:cs="Arial"/>
          <w:b w:val="0"/>
          <w:i w:val="0"/>
        </w:rPr>
      </w:pPr>
    </w:p>
    <w:p w:rsidR="00BB4E12" w:rsidRDefault="00BB4E12" w:rsidP="0050531D">
      <w:pPr>
        <w:jc w:val="center"/>
        <w:rPr>
          <w:rFonts w:ascii="Arial" w:hAnsi="Arial" w:cs="Arial"/>
          <w:i w:val="0"/>
          <w:u w:val="single"/>
        </w:rPr>
      </w:pPr>
    </w:p>
    <w:p w:rsidR="00BB4E12" w:rsidRDefault="00BB4E12" w:rsidP="0022252C">
      <w:pPr>
        <w:spacing w:line="276" w:lineRule="auto"/>
        <w:jc w:val="center"/>
        <w:rPr>
          <w:rFonts w:ascii="Arial" w:hAnsi="Arial" w:cs="Arial"/>
          <w:i w:val="0"/>
          <w:u w:val="single"/>
        </w:rPr>
      </w:pPr>
    </w:p>
    <w:p w:rsidR="009034A7" w:rsidRDefault="009034A7" w:rsidP="0022252C">
      <w:pPr>
        <w:spacing w:line="276" w:lineRule="auto"/>
      </w:pPr>
      <w:r>
        <w:rPr>
          <w:rStyle w:val="hgkelc"/>
          <w:rFonts w:ascii="Arial" w:hAnsi="Arial" w:cs="Arial"/>
          <w:color w:val="202124"/>
          <w:sz w:val="30"/>
          <w:szCs w:val="30"/>
          <w:shd w:val="clear" w:color="auto" w:fill="FFFFFF"/>
          <w:lang w:val="en"/>
        </w:rPr>
        <w:t>Any company that fails to file a required beneficial ownership report or amendment by its filing deadline is subject to </w:t>
      </w:r>
      <w:r>
        <w:rPr>
          <w:rStyle w:val="hgkelc"/>
          <w:rFonts w:ascii="Arial" w:hAnsi="Arial" w:cs="Arial"/>
          <w:color w:val="040C28"/>
          <w:sz w:val="30"/>
          <w:szCs w:val="30"/>
          <w:shd w:val="clear" w:color="auto" w:fill="FFFFFF"/>
          <w:lang w:val="en"/>
        </w:rPr>
        <w:t>a fine of $500 per day, up to a maximum of $10,000</w:t>
      </w:r>
      <w:r>
        <w:rPr>
          <w:rStyle w:val="hgkelc"/>
          <w:rFonts w:ascii="Arial" w:hAnsi="Arial" w:cs="Arial"/>
          <w:color w:val="202124"/>
          <w:sz w:val="30"/>
          <w:szCs w:val="30"/>
          <w:shd w:val="clear" w:color="auto" w:fill="FFFFFF"/>
          <w:lang w:val="en"/>
        </w:rPr>
        <w:t>. Willful failures or intentionally filing inaccurate information is a felony, punishable by up to two years in prison.</w:t>
      </w:r>
    </w:p>
    <w:p w:rsidR="00BB4E12" w:rsidRDefault="00BB4E12" w:rsidP="0050531D">
      <w:pPr>
        <w:jc w:val="center"/>
        <w:rPr>
          <w:rFonts w:ascii="Arial" w:hAnsi="Arial" w:cs="Arial"/>
          <w:i w:val="0"/>
          <w:u w:val="single"/>
        </w:rPr>
      </w:pPr>
      <w:bookmarkStart w:id="0" w:name="_GoBack"/>
      <w:bookmarkEnd w:id="0"/>
    </w:p>
    <w:p w:rsidR="00BB4E12" w:rsidRDefault="00BB4E12" w:rsidP="0050531D">
      <w:pPr>
        <w:jc w:val="center"/>
        <w:rPr>
          <w:rFonts w:ascii="Arial" w:hAnsi="Arial" w:cs="Arial"/>
          <w:i w:val="0"/>
          <w:u w:val="single"/>
        </w:rPr>
      </w:pPr>
    </w:p>
    <w:p w:rsidR="00BB4E12" w:rsidRDefault="00BB4E12" w:rsidP="0050531D">
      <w:pPr>
        <w:jc w:val="center"/>
        <w:rPr>
          <w:rFonts w:ascii="Arial" w:hAnsi="Arial" w:cs="Arial"/>
          <w:i w:val="0"/>
          <w:u w:val="single"/>
        </w:rPr>
      </w:pPr>
    </w:p>
    <w:p w:rsidR="00BB4E12" w:rsidRDefault="00BB4E12" w:rsidP="0050531D">
      <w:pPr>
        <w:jc w:val="center"/>
        <w:rPr>
          <w:rFonts w:ascii="Arial" w:hAnsi="Arial" w:cs="Arial"/>
          <w:i w:val="0"/>
          <w:u w:val="single"/>
        </w:rPr>
      </w:pPr>
    </w:p>
    <w:p w:rsidR="00BB4E12" w:rsidRDefault="00BB4E12" w:rsidP="0050531D">
      <w:pPr>
        <w:jc w:val="center"/>
        <w:rPr>
          <w:rFonts w:ascii="Arial" w:hAnsi="Arial" w:cs="Arial"/>
          <w:i w:val="0"/>
          <w:u w:val="single"/>
        </w:rPr>
      </w:pPr>
    </w:p>
    <w:p w:rsidR="00BB4E12" w:rsidRDefault="00BB4E12" w:rsidP="0050531D">
      <w:pPr>
        <w:jc w:val="center"/>
        <w:rPr>
          <w:rFonts w:ascii="Arial" w:hAnsi="Arial" w:cs="Arial"/>
          <w:i w:val="0"/>
          <w:u w:val="single"/>
        </w:rPr>
      </w:pPr>
      <w:r>
        <w:rPr>
          <w:rFonts w:ascii="Arial" w:hAnsi="Arial" w:cs="Arial"/>
          <w:i w:val="0"/>
          <w:u w:val="single"/>
        </w:rPr>
        <w:lastRenderedPageBreak/>
        <w:t>Who is a Beneficial Owner?</w:t>
      </w:r>
    </w:p>
    <w:p w:rsidR="00BB4E12" w:rsidRDefault="00BB4E12" w:rsidP="0050531D">
      <w:pPr>
        <w:jc w:val="center"/>
        <w:rPr>
          <w:rFonts w:ascii="Arial" w:hAnsi="Arial" w:cs="Arial"/>
          <w:i w:val="0"/>
          <w:u w:val="single"/>
        </w:rPr>
      </w:pPr>
    </w:p>
    <w:p w:rsidR="00BB4E12" w:rsidRDefault="00BB4E12" w:rsidP="0050531D">
      <w:pPr>
        <w:jc w:val="center"/>
        <w:rPr>
          <w:rFonts w:ascii="Arial" w:hAnsi="Arial" w:cs="Arial"/>
          <w:b w:val="0"/>
          <w:i w:val="0"/>
        </w:rPr>
      </w:pPr>
      <w:r>
        <w:rPr>
          <w:rFonts w:ascii="Arial" w:hAnsi="Arial" w:cs="Arial"/>
          <w:b w:val="0"/>
          <w:i w:val="0"/>
        </w:rPr>
        <w:t>A Beneficial Owner is an individual who directly exercises substantial control (such as the company’s president, CEO, CFO, individuals who can appoint or remove officers, and individuals who are important decision makers). The Report will also require information regarding individuals who owns or controls at least 25% of the company’s ownership interests.</w:t>
      </w:r>
    </w:p>
    <w:p w:rsidR="00BB4E12" w:rsidRDefault="00BB4E12" w:rsidP="0050531D">
      <w:pPr>
        <w:jc w:val="center"/>
        <w:rPr>
          <w:rFonts w:ascii="Arial" w:hAnsi="Arial" w:cs="Arial"/>
          <w:b w:val="0"/>
          <w:i w:val="0"/>
        </w:rPr>
      </w:pPr>
    </w:p>
    <w:p w:rsidR="007C6A80" w:rsidRDefault="00BB4E12" w:rsidP="007C6A80">
      <w:pPr>
        <w:jc w:val="center"/>
        <w:rPr>
          <w:rFonts w:ascii="Arial" w:hAnsi="Arial" w:cs="Arial"/>
          <w:i w:val="0"/>
          <w:noProof/>
          <w:u w:val="single"/>
        </w:rPr>
      </w:pPr>
      <w:r>
        <w:rPr>
          <w:noProof/>
        </w:rPr>
        <w:drawing>
          <wp:inline distT="0" distB="0" distL="0" distR="0" wp14:anchorId="05D1AF60" wp14:editId="58419D10">
            <wp:extent cx="5891348" cy="656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0362" cy="6604267"/>
                    </a:xfrm>
                    <a:prstGeom prst="rect">
                      <a:avLst/>
                    </a:prstGeom>
                  </pic:spPr>
                </pic:pic>
              </a:graphicData>
            </a:graphic>
          </wp:inline>
        </w:drawing>
      </w:r>
    </w:p>
    <w:p w:rsidR="00BB4E12" w:rsidRDefault="00BB4E12" w:rsidP="007C6A80">
      <w:pPr>
        <w:jc w:val="center"/>
        <w:rPr>
          <w:rFonts w:ascii="Arial" w:hAnsi="Arial" w:cs="Arial"/>
          <w:i w:val="0"/>
          <w:u w:val="single"/>
        </w:rPr>
      </w:pPr>
      <w:r w:rsidRPr="00BB4E12">
        <w:rPr>
          <w:rFonts w:ascii="Arial" w:hAnsi="Arial" w:cs="Arial"/>
          <w:i w:val="0"/>
          <w:noProof/>
          <w:u w:val="single"/>
        </w:rPr>
        <w:lastRenderedPageBreak/>
        <w:drawing>
          <wp:inline distT="0" distB="0" distL="0" distR="0">
            <wp:extent cx="6810828" cy="5882640"/>
            <wp:effectExtent l="0" t="0" r="0" b="0"/>
            <wp:docPr id="2" name="Picture 2" descr="D:\CompanyShare\Shared\Delaware Registered Agents &amp; Incorporators, L.L.C\BOI reporting\Ownership_Intere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anyShare\Shared\Delaware Registered Agents &amp; Incorporators, L.L.C\BOI reporting\Ownership_Interests.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735"/>
                    <a:stretch/>
                  </pic:blipFill>
                  <pic:spPr bwMode="auto">
                    <a:xfrm>
                      <a:off x="0" y="0"/>
                      <a:ext cx="6892606" cy="5953274"/>
                    </a:xfrm>
                    <a:prstGeom prst="rect">
                      <a:avLst/>
                    </a:prstGeom>
                    <a:noFill/>
                    <a:ln>
                      <a:noFill/>
                    </a:ln>
                    <a:extLst>
                      <a:ext uri="{53640926-AAD7-44D8-BBD7-CCE9431645EC}">
                        <a14:shadowObscured xmlns:a14="http://schemas.microsoft.com/office/drawing/2010/main"/>
                      </a:ext>
                    </a:extLst>
                  </pic:spPr>
                </pic:pic>
              </a:graphicData>
            </a:graphic>
          </wp:inline>
        </w:drawing>
      </w:r>
    </w:p>
    <w:p w:rsidR="00BB4E12" w:rsidRDefault="00BB4E12" w:rsidP="00BB4E12">
      <w:pPr>
        <w:rPr>
          <w:rFonts w:ascii="Arial" w:hAnsi="Arial" w:cs="Arial"/>
          <w:i w:val="0"/>
          <w:u w:val="single"/>
        </w:rPr>
      </w:pPr>
    </w:p>
    <w:p w:rsidR="00BB4E12" w:rsidRDefault="00BB4E12" w:rsidP="00BB4E12">
      <w:pPr>
        <w:jc w:val="center"/>
        <w:rPr>
          <w:rFonts w:ascii="Arial" w:hAnsi="Arial" w:cs="Arial"/>
          <w:i w:val="0"/>
          <w:u w:val="single"/>
        </w:rPr>
      </w:pPr>
    </w:p>
    <w:p w:rsidR="00BB4E12" w:rsidRDefault="00BB4E12" w:rsidP="007C6A80">
      <w:pP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1456A8" w:rsidRDefault="001456A8" w:rsidP="00BB4E12">
      <w:pPr>
        <w:jc w:val="center"/>
        <w:rPr>
          <w:rFonts w:ascii="Arial" w:hAnsi="Arial" w:cs="Arial"/>
          <w:i w:val="0"/>
          <w:u w:val="single"/>
        </w:rPr>
      </w:pPr>
    </w:p>
    <w:p w:rsidR="00BB4E12" w:rsidRDefault="00BB4E12" w:rsidP="00BB4E12">
      <w:pPr>
        <w:jc w:val="center"/>
        <w:rPr>
          <w:rFonts w:ascii="Arial" w:hAnsi="Arial" w:cs="Arial"/>
          <w:i w:val="0"/>
          <w:u w:val="single"/>
        </w:rPr>
      </w:pPr>
      <w:r>
        <w:rPr>
          <w:rFonts w:ascii="Arial" w:hAnsi="Arial" w:cs="Arial"/>
          <w:i w:val="0"/>
          <w:u w:val="single"/>
        </w:rPr>
        <w:lastRenderedPageBreak/>
        <w:t xml:space="preserve">Who is a Company Applicant? </w:t>
      </w:r>
    </w:p>
    <w:p w:rsidR="00BB4E12" w:rsidRDefault="00BB4E12" w:rsidP="00BB4E12">
      <w:pPr>
        <w:jc w:val="center"/>
        <w:rPr>
          <w:rFonts w:ascii="Arial" w:hAnsi="Arial" w:cs="Arial"/>
          <w:i w:val="0"/>
          <w:u w:val="single"/>
        </w:rPr>
      </w:pPr>
    </w:p>
    <w:p w:rsidR="00BB4E12" w:rsidRDefault="00BB4E12" w:rsidP="00BB4E12">
      <w:pPr>
        <w:rPr>
          <w:rFonts w:ascii="Arial" w:hAnsi="Arial" w:cs="Arial"/>
          <w:b w:val="0"/>
          <w:i w:val="0"/>
        </w:rPr>
      </w:pPr>
      <w:r>
        <w:rPr>
          <w:rFonts w:ascii="Arial" w:hAnsi="Arial" w:cs="Arial"/>
          <w:b w:val="0"/>
          <w:i w:val="0"/>
        </w:rPr>
        <w:t>A Company Applicant is an individual such as the person who files the formation and/or the initiator of the filing. There may be more than one company applicant (a limit of two) which is the person responsible for initiating the filing, and the person who files the document to form the company (such as a Registered Agent).</w:t>
      </w:r>
    </w:p>
    <w:p w:rsidR="00D55A6B" w:rsidRDefault="00BB4E12" w:rsidP="001456A8">
      <w:pPr>
        <w:jc w:val="center"/>
        <w:rPr>
          <w:rFonts w:ascii="Arial" w:hAnsi="Arial" w:cs="Arial"/>
          <w:b w:val="0"/>
          <w:i w:val="0"/>
        </w:rPr>
      </w:pPr>
      <w:r w:rsidRPr="00BB4E12">
        <w:rPr>
          <w:rFonts w:ascii="Arial" w:hAnsi="Arial" w:cs="Arial"/>
          <w:b w:val="0"/>
          <w:i w:val="0"/>
          <w:noProof/>
        </w:rPr>
        <w:drawing>
          <wp:inline distT="0" distB="0" distL="0" distR="0">
            <wp:extent cx="5278250" cy="7901940"/>
            <wp:effectExtent l="0" t="0" r="0" b="0"/>
            <wp:docPr id="3" name="Picture 3" descr="D:\CompanyShare\Shared\Delaware Registered Agents &amp; Incorporators, L.L.C\BOI reporting\Company_App_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mpanyShare\Shared\Delaware Registered Agents &amp; Incorporators, L.L.C\BOI reporting\Company_App_De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5980" cy="8003336"/>
                    </a:xfrm>
                    <a:prstGeom prst="rect">
                      <a:avLst/>
                    </a:prstGeom>
                    <a:noFill/>
                    <a:ln>
                      <a:noFill/>
                    </a:ln>
                  </pic:spPr>
                </pic:pic>
              </a:graphicData>
            </a:graphic>
          </wp:inline>
        </w:drawing>
      </w:r>
    </w:p>
    <w:p w:rsidR="00D55A6B" w:rsidRPr="00D55A6B" w:rsidRDefault="00D55A6B">
      <w:pPr>
        <w:rPr>
          <w:rFonts w:ascii="Arial" w:hAnsi="Arial" w:cs="Arial"/>
          <w:b w:val="0"/>
          <w:i w:val="0"/>
        </w:rPr>
      </w:pPr>
    </w:p>
    <w:sectPr w:rsidR="00D55A6B" w:rsidRPr="00D55A6B" w:rsidSect="0015559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997"/>
    <w:multiLevelType w:val="hybridMultilevel"/>
    <w:tmpl w:val="933C0412"/>
    <w:lvl w:ilvl="0" w:tplc="B11C30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4129F"/>
    <w:multiLevelType w:val="hybridMultilevel"/>
    <w:tmpl w:val="0336A2AC"/>
    <w:lvl w:ilvl="0" w:tplc="3E84E1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A51AF"/>
    <w:multiLevelType w:val="hybridMultilevel"/>
    <w:tmpl w:val="7BD2AE8A"/>
    <w:lvl w:ilvl="0" w:tplc="B4E4FC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14D5B"/>
    <w:multiLevelType w:val="hybridMultilevel"/>
    <w:tmpl w:val="4E8CDBDC"/>
    <w:lvl w:ilvl="0" w:tplc="D040C2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90409"/>
    <w:multiLevelType w:val="hybridMultilevel"/>
    <w:tmpl w:val="E62CE60E"/>
    <w:lvl w:ilvl="0" w:tplc="4D646F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F6BE5"/>
    <w:multiLevelType w:val="hybridMultilevel"/>
    <w:tmpl w:val="092AEA7C"/>
    <w:lvl w:ilvl="0" w:tplc="4D646FA4">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076D0"/>
    <w:multiLevelType w:val="hybridMultilevel"/>
    <w:tmpl w:val="A3BCE3B0"/>
    <w:lvl w:ilvl="0" w:tplc="4D646FA4">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C04A4A"/>
    <w:multiLevelType w:val="hybridMultilevel"/>
    <w:tmpl w:val="6234C204"/>
    <w:lvl w:ilvl="0" w:tplc="4D646F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6B"/>
    <w:rsid w:val="001456A8"/>
    <w:rsid w:val="00155595"/>
    <w:rsid w:val="0022252C"/>
    <w:rsid w:val="00306BA4"/>
    <w:rsid w:val="003524E6"/>
    <w:rsid w:val="003A095E"/>
    <w:rsid w:val="003D635D"/>
    <w:rsid w:val="00477E08"/>
    <w:rsid w:val="004B2805"/>
    <w:rsid w:val="00502BFE"/>
    <w:rsid w:val="0050531D"/>
    <w:rsid w:val="0052744F"/>
    <w:rsid w:val="00580626"/>
    <w:rsid w:val="005835C9"/>
    <w:rsid w:val="006701F8"/>
    <w:rsid w:val="006735D8"/>
    <w:rsid w:val="006A2602"/>
    <w:rsid w:val="007056DA"/>
    <w:rsid w:val="0075048F"/>
    <w:rsid w:val="007C6A80"/>
    <w:rsid w:val="00882945"/>
    <w:rsid w:val="009034A7"/>
    <w:rsid w:val="009D5DD9"/>
    <w:rsid w:val="00AA67B7"/>
    <w:rsid w:val="00B44CB6"/>
    <w:rsid w:val="00B6296D"/>
    <w:rsid w:val="00B95032"/>
    <w:rsid w:val="00BA19D4"/>
    <w:rsid w:val="00BB4E12"/>
    <w:rsid w:val="00D55A6B"/>
    <w:rsid w:val="00DF5A70"/>
    <w:rsid w:val="00E474A0"/>
    <w:rsid w:val="00E92452"/>
    <w:rsid w:val="00ED788F"/>
    <w:rsid w:val="00EF3458"/>
    <w:rsid w:val="00F25A9F"/>
    <w:rsid w:val="00F9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F61B"/>
  <w15:chartTrackingRefBased/>
  <w15:docId w15:val="{6F1C7437-36BD-40A7-B710-B7AC44DF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Calligraphy" w:eastAsiaTheme="minorHAnsi" w:hAnsi="Lucida Calligraphy" w:cstheme="majorBidi"/>
        <w:b/>
        <w: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F3458"/>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EF3458"/>
    <w:rPr>
      <w:rFonts w:eastAsiaTheme="majorEastAsia"/>
    </w:rPr>
  </w:style>
  <w:style w:type="paragraph" w:styleId="ListParagraph">
    <w:name w:val="List Paragraph"/>
    <w:basedOn w:val="Normal"/>
    <w:uiPriority w:val="34"/>
    <w:qFormat/>
    <w:rsid w:val="00E92452"/>
    <w:pPr>
      <w:ind w:left="720"/>
      <w:contextualSpacing/>
    </w:pPr>
  </w:style>
  <w:style w:type="character" w:styleId="Hyperlink">
    <w:name w:val="Hyperlink"/>
    <w:basedOn w:val="DefaultParagraphFont"/>
    <w:uiPriority w:val="99"/>
    <w:unhideWhenUsed/>
    <w:rsid w:val="00882945"/>
    <w:rPr>
      <w:color w:val="9454C3" w:themeColor="hyperlink"/>
      <w:u w:val="single"/>
    </w:rPr>
  </w:style>
  <w:style w:type="character" w:customStyle="1" w:styleId="hgkelc">
    <w:name w:val="hgkelc"/>
    <w:basedOn w:val="DefaultParagraphFont"/>
    <w:rsid w:val="0090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cen" TargetMode="External"/><Relationship Id="rId13" Type="http://schemas.openxmlformats.org/officeDocument/2006/relationships/hyperlink" Target="http://www.fincen.gov/bo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cen.gov/boi" TargetMode="External"/><Relationship Id="rId12" Type="http://schemas.openxmlformats.org/officeDocument/2006/relationships/hyperlink" Target="http://www.fincen.gov/bo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www.fincen.gov/boi" TargetMode="External"/><Relationship Id="rId11" Type="http://schemas.openxmlformats.org/officeDocument/2006/relationships/hyperlink" Target="http://www.fincen" TargetMode="External"/><Relationship Id="rId5" Type="http://schemas.openxmlformats.org/officeDocument/2006/relationships/hyperlink" Target="http://www.fincen.gov/boi" TargetMode="External"/><Relationship Id="rId15" Type="http://schemas.openxmlformats.org/officeDocument/2006/relationships/image" Target="media/image2.png"/><Relationship Id="rId10" Type="http://schemas.openxmlformats.org/officeDocument/2006/relationships/hyperlink" Target="http://www.fincen.gov/boi" TargetMode="External"/><Relationship Id="rId4" Type="http://schemas.openxmlformats.org/officeDocument/2006/relationships/webSettings" Target="webSettings.xml"/><Relationship Id="rId9" Type="http://schemas.openxmlformats.org/officeDocument/2006/relationships/hyperlink" Target="http://www.fince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Moore</dc:creator>
  <cp:keywords/>
  <dc:description/>
  <cp:lastModifiedBy>Kathy Moore</cp:lastModifiedBy>
  <cp:revision>6</cp:revision>
  <dcterms:created xsi:type="dcterms:W3CDTF">2023-10-23T17:56:00Z</dcterms:created>
  <dcterms:modified xsi:type="dcterms:W3CDTF">2023-12-10T18:40:00Z</dcterms:modified>
</cp:coreProperties>
</file>